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42</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Handmaids enter Harvard’s campus for a district Salvaging. They walk past Angels in riot gear and enter the quadrangle in front of the main library, where graduations used to take place. Now there’s a stage with three nooses. </w:t>
            </w:r>
            <w:r>
              <w:rPr>
                <w:rFonts w:ascii="Tahoma" w:hAnsi="Tahoma"/>
                <w:sz w:val="22"/>
                <w:szCs w:val="22"/>
                <w:b/>
              </w:rPr>
              <w:t xml:space="preserve">Offred</w:t>
            </w:r>
            <w:r>
              <w:rPr>
                <w:rFonts w:ascii="Tahoma" w:hAnsi="Tahoma"/>
                <w:sz w:val="22"/>
                <w:szCs w:val="22"/>
              </w:rPr>
              <w:t xml:space="preserve"> only attended a Women’s Salvaging once before, two years ago. Two Handmaids and one Wife are on the stage to be “salvaged.” They may be drugged into complacency.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Aunt Lydia</w:t>
            </w:r>
            <w:r>
              <w:rPr>
                <w:rFonts w:ascii="Tahoma" w:hAnsi="Tahoma"/>
                <w:sz w:val="22"/>
                <w:szCs w:val="22"/>
              </w:rPr>
              <w:t xml:space="preserve"> comes onto the stage and </w:t>
            </w:r>
            <w:r>
              <w:rPr>
                <w:rFonts w:ascii="Tahoma" w:hAnsi="Tahoma"/>
                <w:sz w:val="22"/>
                <w:szCs w:val="22"/>
                <w:b/>
              </w:rPr>
              <w:t xml:space="preserve">Offred</w:t>
            </w:r>
            <w:r>
              <w:rPr>
                <w:rFonts w:ascii="Tahoma" w:hAnsi="Tahoma"/>
                <w:sz w:val="22"/>
                <w:szCs w:val="22"/>
              </w:rPr>
              <w:t xml:space="preserve"> hates her. She gives a speech about duty, and then announces that she will not be explaining what the women on stage did wrong, so as not to lead to copycat crimes. This upsets the Handmaids, who like to know the kinds of crimes they too could commit. The Handmaids might be there for attempted murder of their Commanders or Wives. And the Wife may be there for attempted murder of a Handmaid, adultery, or escape.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Salvagers prepare to hang Ofcharles, and someone behind </w:t>
            </w:r>
            <w:r>
              <w:rPr>
                <w:rFonts w:ascii="Tahoma" w:hAnsi="Tahoma"/>
                <w:sz w:val="22"/>
                <w:szCs w:val="22"/>
                <w:b/>
              </w:rPr>
              <w:t xml:space="preserve">Offred</w:t>
            </w:r>
            <w:r>
              <w:rPr>
                <w:rFonts w:ascii="Tahoma" w:hAnsi="Tahoma"/>
                <w:sz w:val="22"/>
                <w:szCs w:val="22"/>
              </w:rPr>
              <w:t xml:space="preserve">, maybe </w:t>
            </w:r>
            <w:r>
              <w:rPr>
                <w:rFonts w:ascii="Tahoma" w:hAnsi="Tahoma"/>
                <w:sz w:val="22"/>
                <w:szCs w:val="22"/>
                <w:b/>
              </w:rPr>
              <w:t xml:space="preserve">Janine</w:t>
            </w:r>
            <w:r>
              <w:rPr>
                <w:rFonts w:ascii="Tahoma" w:hAnsi="Tahoma"/>
                <w:sz w:val="22"/>
                <w:szCs w:val="22"/>
              </w:rPr>
              <w:t xml:space="preserve">, according to </w:t>
            </w:r>
            <w:r>
              <w:rPr>
                <w:rFonts w:ascii="Tahoma" w:hAnsi="Tahoma"/>
                <w:sz w:val="22"/>
                <w:szCs w:val="22"/>
                <w:b/>
              </w:rPr>
              <w:t xml:space="preserve">Ofglen</w:t>
            </w:r>
            <w:r>
              <w:rPr>
                <w:rFonts w:ascii="Tahoma" w:hAnsi="Tahoma"/>
                <w:sz w:val="22"/>
                <w:szCs w:val="22"/>
              </w:rPr>
              <w:t xml:space="preserve">, seems to vomit. As the women is hanged, the Handmaids in the audience put their hands on a rope in the grass connected to a noose, to show that they’re taking part in the execution.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